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B4FB" w14:textId="77777777" w:rsidR="005E5EE9" w:rsidRPr="0094281B" w:rsidRDefault="00B17B88" w:rsidP="00597DEB">
      <w:pPr>
        <w:spacing w:line="360" w:lineRule="auto"/>
        <w:ind w:right="-30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r w:rsidRPr="0094281B">
        <w:rPr>
          <w:b/>
          <w:sz w:val="36"/>
          <w:szCs w:val="36"/>
          <w:lang w:val="en-GB"/>
        </w:rPr>
        <w:t>Nuova rol e-chain heavy-duty igus per la massima durata d'esercizio sulle gru</w:t>
      </w:r>
    </w:p>
    <w:p w14:paraId="4150CAD7" w14:textId="77777777" w:rsidR="005E5EE9" w:rsidRPr="0094281B" w:rsidRDefault="00B17B88" w:rsidP="00597DEB">
      <w:pPr>
        <w:spacing w:line="360" w:lineRule="auto"/>
        <w:ind w:right="-30"/>
        <w:rPr>
          <w:b/>
          <w:sz w:val="24"/>
          <w:szCs w:val="24"/>
          <w:lang w:val="en-GB"/>
        </w:rPr>
      </w:pPr>
      <w:r w:rsidRPr="0094281B">
        <w:rPr>
          <w:b/>
          <w:sz w:val="24"/>
          <w:szCs w:val="24"/>
          <w:lang w:val="en-GB"/>
        </w:rPr>
        <w:t>Materiali resistenti all'usura, componenti facili da sostituire e monitoraggio intelligente per la rol e-chain P4HD igus</w:t>
      </w:r>
    </w:p>
    <w:p w14:paraId="538262C9" w14:textId="77777777" w:rsidR="001A51FA" w:rsidRPr="0094281B" w:rsidRDefault="001A51FA" w:rsidP="00597DEB">
      <w:pPr>
        <w:spacing w:line="360" w:lineRule="auto"/>
        <w:ind w:right="-30"/>
        <w:rPr>
          <w:b/>
          <w:lang w:val="en-GB"/>
        </w:rPr>
      </w:pPr>
    </w:p>
    <w:p w14:paraId="4C149A33" w14:textId="77777777" w:rsidR="005E5EE9" w:rsidRPr="0094281B" w:rsidRDefault="00B17B88" w:rsidP="005E5EE9">
      <w:pPr>
        <w:spacing w:line="360" w:lineRule="auto"/>
        <w:rPr>
          <w:b/>
          <w:lang w:val="en-GB"/>
        </w:rPr>
      </w:pPr>
      <w:r w:rsidRPr="0094281B">
        <w:rPr>
          <w:b/>
          <w:lang w:val="en-GB"/>
        </w:rPr>
        <w:t xml:space="preserve">Sulle gru di nuova generazione, i sistemi per </w:t>
      </w:r>
      <w:r w:rsidRPr="0094281B">
        <w:rPr>
          <w:b/>
          <w:lang w:val="en-GB"/>
        </w:rPr>
        <w:t>catene portacavi devono rispondere a requisiti sempre più elevati. Oggi esiste una catena portacavi in grado di soddisfare appieno queste particolari esigenze, che si tratti di corse più lunghe, di accelerazioni e velocità maggiori oppure esigenze in termi</w:t>
      </w:r>
      <w:r w:rsidRPr="0094281B">
        <w:rPr>
          <w:b/>
          <w:lang w:val="en-GB"/>
        </w:rPr>
        <w:t>ni di affidabilità. La nuova rol e-chain heavy-duty P4HD è realizzata con materiali altamente resistenti all'abrasione. Inoltre, il design speciale delle maglie, nei giunti di collegamento come nelle maglie roller con il triplo dente di fermo di nuova prog</w:t>
      </w:r>
      <w:r w:rsidRPr="0094281B">
        <w:rPr>
          <w:b/>
          <w:lang w:val="en-GB"/>
        </w:rPr>
        <w:t xml:space="preserve">ettazione, permettono di limitare l'usura al minimo e di ridurre ulteriormente la forza motrice necessaria. Ogni parte può essere sostituita singolarmente in caso di manutenzione. Per il monitoraggio della durata d'esercizio, è possibile integrare sensori </w:t>
      </w:r>
      <w:r w:rsidRPr="0094281B">
        <w:rPr>
          <w:b/>
          <w:lang w:val="en-GB"/>
        </w:rPr>
        <w:t>con tecnologia smart plastics nella connessione perno/foro.</w:t>
      </w:r>
    </w:p>
    <w:p w14:paraId="4D6C86EB" w14:textId="77777777" w:rsidR="00597DEB" w:rsidRPr="0094281B" w:rsidRDefault="00597DEB" w:rsidP="00597DEB">
      <w:pPr>
        <w:spacing w:line="360" w:lineRule="auto"/>
        <w:rPr>
          <w:b/>
          <w:lang w:val="en-GB"/>
        </w:rPr>
      </w:pPr>
    </w:p>
    <w:p w14:paraId="5780D0E4" w14:textId="77777777" w:rsidR="00597DEB" w:rsidRPr="0094281B" w:rsidRDefault="00B17B88" w:rsidP="00597DEB">
      <w:pPr>
        <w:spacing w:line="360" w:lineRule="auto"/>
        <w:rPr>
          <w:bCs/>
          <w:lang w:val="en-GB"/>
        </w:rPr>
      </w:pPr>
      <w:r w:rsidRPr="0094281B">
        <w:rPr>
          <w:bCs/>
          <w:lang w:val="en-GB"/>
        </w:rPr>
        <w:t>Si devono muovere sempre più velocemente, su corse sempre più lunghe e con carichi sempre maggiori: stiamo parlando delle catene portacavi nelle gru ship-to-shore di nuova generazione. "Per rispo</w:t>
      </w:r>
      <w:r w:rsidRPr="0094281B">
        <w:rPr>
          <w:bCs/>
          <w:lang w:val="en-GB"/>
        </w:rPr>
        <w:t>ndere a questi nuovi trend nel settore delle gru, abbiamo sviluppato una nuova rol e-chain caratterizzata da una massima durata d'esercizio" spiega Jörg Ottersbach, Responsabile della Business Unit catene portacavi presso igus GmbH. Infatti, igus ha presen</w:t>
      </w:r>
      <w:r w:rsidRPr="0094281B">
        <w:rPr>
          <w:bCs/>
          <w:lang w:val="en-GB"/>
        </w:rPr>
        <w:t>tato una versione heavy-duty partendo dalla sua gamma di catene portacavi P4. Secondo quanto riportato, la durata d'esercizio del prodotto può arrivare anche a 15 anni, in funzione dell'applicazione. Per raggiungere questi risultati, igus utilizza i suoi p</w:t>
      </w:r>
      <w:r w:rsidRPr="0094281B">
        <w:rPr>
          <w:bCs/>
          <w:lang w:val="en-GB"/>
        </w:rPr>
        <w:t>olimeri tribologicamente ottimizzati ad alte prestazioni. E per limitare ulteriormente l'abrasione sulla catena, igus ha apportato alcune modifiche al design del prodotto. Tra queste migliorie progettuali, un sistema a triplo dente di fermo e una struttura</w:t>
      </w:r>
      <w:r w:rsidRPr="0094281B">
        <w:rPr>
          <w:bCs/>
          <w:lang w:val="en-GB"/>
        </w:rPr>
        <w:t xml:space="preserve"> simmetrica. Le ruote integrate riducono la forza motrice necessaria del 57% rispetto a una catena portacavi, in scorrimento tradizionale. Le ruote non scorrono sovrapposte, ma sfalsate. I traversini autoglide mantengono la catena in posizione, innalzando </w:t>
      </w:r>
      <w:r w:rsidRPr="0094281B">
        <w:rPr>
          <w:bCs/>
          <w:lang w:val="en-GB"/>
        </w:rPr>
        <w:t xml:space="preserve">il livello di sicurezza del sistema e riducendo il rischio di costosi fermi macchina imprevisti. </w:t>
      </w:r>
      <w:r w:rsidRPr="0094281B">
        <w:rPr>
          <w:bCs/>
          <w:lang w:val="en-GB"/>
        </w:rPr>
        <w:lastRenderedPageBreak/>
        <w:t>Per la connessione perno/foro, igus - basandosi sull'esperienza maturata nella tecnologia dei cuscinetti in polimero - ha scelto un materiale iglidur ultra col</w:t>
      </w:r>
      <w:r w:rsidRPr="0094281B">
        <w:rPr>
          <w:bCs/>
          <w:lang w:val="en-GB"/>
        </w:rPr>
        <w:t>laudato, in grado di estendere in modo significativo la durata d'esercizio della catena. I test eseguiti nel nostro laboratorio interno di 3.800 metri quadrati confermano che la P4HD presenta una durata d'esercizio più lunga del 50% rispetto alla serie pre</w:t>
      </w:r>
      <w:r w:rsidRPr="0094281B">
        <w:rPr>
          <w:bCs/>
          <w:lang w:val="en-GB"/>
        </w:rPr>
        <w:t>cedente P41.56" spiega Jörg Ottersbach.</w:t>
      </w:r>
    </w:p>
    <w:p w14:paraId="03DAADC6" w14:textId="77777777" w:rsidR="00DC244C" w:rsidRPr="0094281B" w:rsidRDefault="00DC244C" w:rsidP="00597DEB">
      <w:pPr>
        <w:spacing w:line="360" w:lineRule="auto"/>
        <w:rPr>
          <w:lang w:val="en-GB"/>
        </w:rPr>
      </w:pPr>
    </w:p>
    <w:bookmarkEnd w:id="0"/>
    <w:p w14:paraId="77492A77" w14:textId="77777777" w:rsidR="00323324" w:rsidRPr="0094281B" w:rsidRDefault="00B17B88" w:rsidP="00323324">
      <w:pPr>
        <w:overflowPunct/>
        <w:autoSpaceDE/>
        <w:autoSpaceDN/>
        <w:adjustRightInd/>
        <w:spacing w:line="360" w:lineRule="auto"/>
        <w:textAlignment w:val="auto"/>
        <w:rPr>
          <w:b/>
          <w:lang w:val="en-GB"/>
        </w:rPr>
      </w:pPr>
      <w:r w:rsidRPr="0094281B">
        <w:rPr>
          <w:b/>
          <w:lang w:val="en-GB"/>
        </w:rPr>
        <w:t>Manutenzione predittiva, manutenzione veloce</w:t>
      </w:r>
    </w:p>
    <w:p w14:paraId="4CEF1782" w14:textId="68C941F8" w:rsidR="00597DEB" w:rsidRPr="0094281B" w:rsidRDefault="00B17B88" w:rsidP="00E935DB">
      <w:pPr>
        <w:overflowPunct/>
        <w:autoSpaceDE/>
        <w:autoSpaceDN/>
        <w:adjustRightInd/>
        <w:spacing w:line="360" w:lineRule="auto"/>
        <w:textAlignment w:val="auto"/>
        <w:rPr>
          <w:bCs/>
          <w:lang w:val="en-GB"/>
        </w:rPr>
      </w:pPr>
      <w:r w:rsidRPr="0094281B">
        <w:rPr>
          <w:bCs/>
          <w:lang w:val="en-GB"/>
        </w:rPr>
        <w:t>Qualora sia necessario un intervento di manutenzione, tutte le parti della catena possono essere sostituite con un rapporto 1:1. Grazie alla corrispondenza delle dimensio</w:t>
      </w:r>
      <w:r w:rsidRPr="0094281B">
        <w:rPr>
          <w:bCs/>
          <w:lang w:val="en-GB"/>
        </w:rPr>
        <w:t xml:space="preserve">ni, è anche possibile eseguire un rapido retrofit di sistemi per catene portacavi P4 con la nuova catena. In questo modo si riduce la complessità degli interventi di manutenzione, nonché i relativi costi e i materiali necessari. </w:t>
      </w:r>
      <w:r w:rsidRPr="00B17B88">
        <w:rPr>
          <w:bCs/>
          <w:lang w:val="de-DE"/>
        </w:rPr>
        <w:t xml:space="preserve">Inoltre, la P4HD può anche </w:t>
      </w:r>
      <w:r w:rsidRPr="00B17B88">
        <w:rPr>
          <w:bCs/>
          <w:lang w:val="de-DE"/>
        </w:rPr>
        <w:t xml:space="preserve">essere integrata da sensori di monitoraggio intelligente. </w:t>
      </w:r>
      <w:r w:rsidRPr="0094281B">
        <w:rPr>
          <w:bCs/>
          <w:lang w:val="en-GB"/>
        </w:rPr>
        <w:t>A partire da una soglia di usura predefinita, il sensore invia un segnale al modulo igus i.Cee:plus, per consentire la programmazione della manutenzione della rol e-chain. Un'altra caratteristica im</w:t>
      </w:r>
      <w:r w:rsidRPr="0094281B">
        <w:rPr>
          <w:bCs/>
          <w:lang w:val="en-GB"/>
        </w:rPr>
        <w:t xml:space="preserve">portante è l'integrazione del sensore nella parte laterale della catena, senza incidere sulla larghezza interna utile. E se la gru deve essere dimessa, igus ritira la catena portacavi per riciclarla nell'ambito del </w:t>
      </w:r>
      <w:hyperlink r:id="rId7" w:history="1">
        <w:r w:rsidRPr="0094281B">
          <w:rPr>
            <w:rStyle w:val="Hyperlink"/>
            <w:bCs/>
            <w:lang w:val="en-GB"/>
          </w:rPr>
          <w:t>programma "chain</w:t>
        </w:r>
        <w:r w:rsidRPr="0094281B">
          <w:rPr>
            <w:rStyle w:val="Hyperlink"/>
            <w:bCs/>
            <w:lang w:val="en-GB"/>
          </w:rPr>
          <w:t>g</w:t>
        </w:r>
        <w:r w:rsidRPr="0094281B">
          <w:rPr>
            <w:rStyle w:val="Hyperlink"/>
            <w:bCs/>
            <w:lang w:val="en-GB"/>
          </w:rPr>
          <w:t>e"</w:t>
        </w:r>
      </w:hyperlink>
      <w:r w:rsidRPr="0094281B">
        <w:rPr>
          <w:bCs/>
          <w:lang w:val="en-GB"/>
        </w:rPr>
        <w:t xml:space="preserve"> in base al peso del materiale che rientra, il cliente riceve un buono.</w:t>
      </w:r>
    </w:p>
    <w:p w14:paraId="0B65AEDF" w14:textId="77777777" w:rsidR="00597DEB" w:rsidRPr="0094281B" w:rsidRDefault="00597DEB" w:rsidP="00E935DB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56F24FEA" w14:textId="77777777" w:rsidR="006C6D51" w:rsidRPr="0094281B" w:rsidRDefault="00B17B88" w:rsidP="00E935DB">
      <w:pPr>
        <w:overflowPunct/>
        <w:autoSpaceDE/>
        <w:autoSpaceDN/>
        <w:adjustRightInd/>
        <w:spacing w:line="360" w:lineRule="auto"/>
        <w:jc w:val="left"/>
        <w:textAlignment w:val="auto"/>
        <w:rPr>
          <w:bCs/>
          <w:lang w:val="en-GB"/>
        </w:rPr>
      </w:pPr>
      <w:r w:rsidRPr="0094281B">
        <w:rPr>
          <w:bCs/>
          <w:lang w:val="en-GB"/>
        </w:rPr>
        <w:t>Maggiori informazioni sulla rol e-chain P4HD all'indirizzo:</w:t>
      </w:r>
    </w:p>
    <w:p w14:paraId="28F0B8F9" w14:textId="49EE676D" w:rsidR="00C16313" w:rsidRPr="0094281B" w:rsidRDefault="00B17B88" w:rsidP="00E935DB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hyperlink r:id="rId8" w:history="1">
        <w:r>
          <w:rPr>
            <w:rStyle w:val="Hyperlink"/>
            <w:lang w:val="en-GB"/>
          </w:rPr>
          <w:t>https://www.igus.it/info/roller-echain-p4hd</w:t>
        </w:r>
      </w:hyperlink>
    </w:p>
    <w:p w14:paraId="35F4F0B0" w14:textId="77777777" w:rsidR="003855E6" w:rsidRPr="0094281B" w:rsidRDefault="003855E6" w:rsidP="00E935DB">
      <w:pPr>
        <w:overflowPunct/>
        <w:autoSpaceDE/>
        <w:autoSpaceDN/>
        <w:adjustRightInd/>
        <w:spacing w:line="360" w:lineRule="auto"/>
        <w:jc w:val="left"/>
        <w:textAlignment w:val="auto"/>
        <w:rPr>
          <w:rStyle w:val="Hyperlink"/>
          <w:bCs/>
          <w:lang w:val="en-GB"/>
        </w:rPr>
      </w:pPr>
    </w:p>
    <w:p w14:paraId="10C26DAD" w14:textId="4A8EE1F5" w:rsidR="003855E6" w:rsidRDefault="003855E6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667F4E37" w14:textId="3CE8887F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3FC934EC" w14:textId="250011D6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0EB8F8E4" w14:textId="6930F481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1620E31D" w14:textId="06B598BE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7FB17641" w14:textId="56129585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21FEFD8A" w14:textId="4E515207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20C4A78B" w14:textId="335C4089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752494B8" w14:textId="176A4597" w:rsidR="00B17B88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62FC7750" w14:textId="77777777" w:rsidR="00B17B88" w:rsidRPr="0094281B" w:rsidRDefault="00B17B88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0DF6423E" w14:textId="77777777" w:rsidR="003855E6" w:rsidRPr="0094281B" w:rsidRDefault="003855E6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3B58076F" w14:textId="77777777" w:rsidR="003855E6" w:rsidRPr="0094281B" w:rsidRDefault="003855E6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3B220F08" w14:textId="77777777" w:rsidR="003855E6" w:rsidRPr="0094281B" w:rsidRDefault="003855E6" w:rsidP="00B87229">
      <w:pPr>
        <w:suppressAutoHyphens/>
        <w:spacing w:line="360" w:lineRule="auto"/>
        <w:rPr>
          <w:b/>
          <w:sz w:val="18"/>
          <w:lang w:val="en-GB"/>
        </w:rPr>
      </w:pPr>
    </w:p>
    <w:p w14:paraId="24A77A5A" w14:textId="77777777" w:rsidR="00B87229" w:rsidRPr="007E3E94" w:rsidRDefault="00B17B88" w:rsidP="00B87229">
      <w:pPr>
        <w:suppressAutoHyphens/>
        <w:spacing w:line="360" w:lineRule="auto"/>
        <w:rPr>
          <w:b/>
        </w:rPr>
      </w:pPr>
      <w:r>
        <w:rPr>
          <w:b/>
        </w:rPr>
        <w:lastRenderedPageBreak/>
        <w:t>Didascalia:</w:t>
      </w:r>
    </w:p>
    <w:p w14:paraId="480D9D5F" w14:textId="77777777" w:rsidR="00B87229" w:rsidRPr="007E3E94" w:rsidRDefault="00B87229" w:rsidP="00B87229">
      <w:pPr>
        <w:suppressAutoHyphens/>
        <w:spacing w:line="360" w:lineRule="auto"/>
        <w:rPr>
          <w:b/>
        </w:rPr>
      </w:pPr>
    </w:p>
    <w:p w14:paraId="4D5B14B6" w14:textId="77777777" w:rsidR="00B87229" w:rsidRPr="007E3E94" w:rsidRDefault="00B17B88" w:rsidP="00B87229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630F69C" wp14:editId="7F71A219">
            <wp:extent cx="3247789" cy="23145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50" cy="231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63BB" w14:textId="77777777" w:rsidR="00B87229" w:rsidRPr="0094281B" w:rsidRDefault="00B17B88" w:rsidP="00B87229">
      <w:pPr>
        <w:suppressAutoHyphens/>
        <w:spacing w:line="360" w:lineRule="auto"/>
        <w:rPr>
          <w:rFonts w:cs="Arial"/>
          <w:b/>
          <w:szCs w:val="22"/>
          <w:lang w:val="en-GB"/>
        </w:rPr>
      </w:pPr>
      <w:r w:rsidRPr="0094281B">
        <w:rPr>
          <w:rFonts w:cs="Arial"/>
          <w:b/>
          <w:szCs w:val="22"/>
          <w:lang w:val="en-GB"/>
        </w:rPr>
        <w:t>Immagine PM3521-1</w:t>
      </w:r>
    </w:p>
    <w:p w14:paraId="539CE010" w14:textId="77777777" w:rsidR="00B87229" w:rsidRPr="007E3E94" w:rsidRDefault="0094281B" w:rsidP="00B87229">
      <w:pPr>
        <w:suppressAutoHyphens/>
        <w:spacing w:line="360" w:lineRule="auto"/>
      </w:pPr>
      <w:r>
        <w:rPr>
          <w:lang w:val="en-GB"/>
        </w:rPr>
        <w:t xml:space="preserve">Grazie a nuovi materiali e a una speciale connessione perno/foro, la rol e-chain heavy-duty P4HD è a prova di guasto sulle moderne gru STS. </w:t>
      </w:r>
      <w:r>
        <w:rPr>
          <w:lang w:val="en-GB"/>
        </w:rPr>
        <w:br/>
        <w:t>(Fonte: igus GmbH)</w:t>
      </w:r>
    </w:p>
    <w:p w14:paraId="444CAB91" w14:textId="1982725E" w:rsidR="000F40CE" w:rsidRDefault="000F40CE" w:rsidP="004518D1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 w:cs="Calibri"/>
          <w:szCs w:val="22"/>
          <w:lang w:eastAsia="en-US"/>
        </w:rPr>
      </w:pPr>
    </w:p>
    <w:p w14:paraId="3C6A4562" w14:textId="53F49425" w:rsidR="00B17B88" w:rsidRDefault="00B17B88" w:rsidP="004518D1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 w:cs="Calibri"/>
          <w:szCs w:val="22"/>
          <w:lang w:eastAsia="en-US"/>
        </w:rPr>
      </w:pPr>
    </w:p>
    <w:p w14:paraId="68E43D95" w14:textId="171B7DC9" w:rsidR="00B17B88" w:rsidRDefault="00B17B88" w:rsidP="004518D1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 w:cs="Calibri"/>
          <w:szCs w:val="22"/>
          <w:lang w:eastAsia="en-US"/>
        </w:rPr>
      </w:pPr>
    </w:p>
    <w:p w14:paraId="14B536C7" w14:textId="77777777" w:rsidR="00B17B88" w:rsidRDefault="00B17B88" w:rsidP="004518D1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 w:cs="Calibri"/>
          <w:szCs w:val="22"/>
          <w:lang w:eastAsia="en-US"/>
        </w:rPr>
      </w:pPr>
    </w:p>
    <w:p w14:paraId="73CE896F" w14:textId="428D8903" w:rsidR="00B17B88" w:rsidRDefault="00B17B88" w:rsidP="004518D1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 w:cs="Calibri"/>
          <w:szCs w:val="22"/>
          <w:lang w:eastAsia="en-US"/>
        </w:rPr>
      </w:pPr>
    </w:p>
    <w:p w14:paraId="591A3776" w14:textId="77777777" w:rsidR="00B17B88" w:rsidRPr="000C72AA" w:rsidRDefault="00B17B88" w:rsidP="00B17B88">
      <w:pPr>
        <w:rPr>
          <w:rFonts w:ascii="Calibri" w:hAnsi="Calibri"/>
          <w:b/>
          <w:sz w:val="18"/>
          <w:szCs w:val="18"/>
        </w:rPr>
      </w:pPr>
      <w:r w:rsidRPr="000C72AA">
        <w:rPr>
          <w:b/>
          <w:sz w:val="18"/>
          <w:szCs w:val="18"/>
        </w:rPr>
        <w:t>Relazioni Stampa igus Srl (Italia)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C72AA">
        <w:rPr>
          <w:b/>
          <w:sz w:val="18"/>
          <w:szCs w:val="18"/>
        </w:rPr>
        <w:t>Relazioni Stampa igus GmbH (Germania)</w:t>
      </w:r>
    </w:p>
    <w:p w14:paraId="5DCE7EE9" w14:textId="77777777" w:rsidR="00B17B88" w:rsidRDefault="00B17B88" w:rsidP="00B17B88">
      <w:pPr>
        <w:rPr>
          <w:rFonts w:cs="Arial"/>
          <w:sz w:val="18"/>
          <w:szCs w:val="18"/>
        </w:rPr>
      </w:pPr>
    </w:p>
    <w:p w14:paraId="55E790B4" w14:textId="77777777" w:rsidR="00B17B88" w:rsidRPr="00975D33" w:rsidRDefault="00B17B88" w:rsidP="00B17B88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Marie Olyve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Alexa Heinzelmann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2FA71DFC" w14:textId="77777777" w:rsidR="00B17B88" w:rsidRPr="00975D33" w:rsidRDefault="00B17B88" w:rsidP="00B17B88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Marketing &amp; Communication Dept.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Head of International Marketing</w:t>
      </w:r>
    </w:p>
    <w:p w14:paraId="39362929" w14:textId="77777777" w:rsidR="00B17B88" w:rsidRDefault="00B17B88" w:rsidP="00B17B88">
      <w:pPr>
        <w:rPr>
          <w:rFonts w:cs="Arial"/>
          <w:sz w:val="18"/>
          <w:szCs w:val="18"/>
        </w:rPr>
      </w:pPr>
    </w:p>
    <w:p w14:paraId="6DD5D0D9" w14:textId="77777777" w:rsidR="00B17B88" w:rsidRPr="00975D33" w:rsidRDefault="00B17B88" w:rsidP="00B17B88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igus</w:t>
      </w:r>
      <w:r w:rsidRPr="00975D33">
        <w:rPr>
          <w:rFonts w:cs="Arial"/>
          <w:sz w:val="18"/>
          <w:szCs w:val="18"/>
          <w:vertAlign w:val="superscript"/>
        </w:rPr>
        <w:t xml:space="preserve">® </w:t>
      </w:r>
      <w:r w:rsidRPr="00975D33">
        <w:rPr>
          <w:rFonts w:cs="Arial"/>
          <w:sz w:val="18"/>
          <w:szCs w:val="18"/>
        </w:rPr>
        <w:t>S.r.l. con socio unico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3EBA158F" w14:textId="77777777" w:rsidR="00B17B88" w:rsidRPr="00975D33" w:rsidRDefault="00B17B88" w:rsidP="00B17B88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via delle rvedine,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Spicher Str. 1a</w:t>
      </w:r>
    </w:p>
    <w:p w14:paraId="03D9EB31" w14:textId="77777777" w:rsidR="00B17B88" w:rsidRPr="00975D33" w:rsidRDefault="00B17B88" w:rsidP="00B17B88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51147 Cologne</w:t>
      </w:r>
    </w:p>
    <w:p w14:paraId="5A205AEA" w14:textId="77777777" w:rsidR="00B17B88" w:rsidRPr="00975D33" w:rsidRDefault="00B17B88" w:rsidP="00B17B88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  <w:t>Tel.: +49 2203 9649 7273</w:t>
      </w:r>
    </w:p>
    <w:p w14:paraId="264CB1FA" w14:textId="77777777" w:rsidR="00B17B88" w:rsidRDefault="00B17B88" w:rsidP="00B17B88">
      <w:pPr>
        <w:rPr>
          <w:rFonts w:cs="Arial"/>
          <w:sz w:val="18"/>
          <w:szCs w:val="18"/>
        </w:rPr>
      </w:pPr>
      <w:hyperlink r:id="rId10" w:history="1">
        <w:r w:rsidRPr="00C92AA8">
          <w:rPr>
            <w:rStyle w:val="Hyperlink"/>
            <w:rFonts w:cs="Arial"/>
            <w:sz w:val="18"/>
            <w:szCs w:val="18"/>
          </w:rPr>
          <w:t>molyve@igus.net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1" w:history="1">
        <w:r w:rsidRPr="00C92AA8">
          <w:rPr>
            <w:rStyle w:val="Hyperlink"/>
            <w:rFonts w:cs="Arial"/>
            <w:sz w:val="18"/>
            <w:szCs w:val="18"/>
          </w:rPr>
          <w:t>aheinzelmann@igus.net</w:t>
        </w:r>
      </w:hyperlink>
    </w:p>
    <w:p w14:paraId="67549E08" w14:textId="77777777" w:rsidR="00B17B88" w:rsidRDefault="00B17B88" w:rsidP="00B17B88">
      <w:pPr>
        <w:rPr>
          <w:rFonts w:cs="Arial"/>
          <w:sz w:val="18"/>
          <w:szCs w:val="18"/>
        </w:rPr>
      </w:pPr>
      <w:hyperlink r:id="rId12" w:history="1">
        <w:r w:rsidRPr="00C92AA8">
          <w:rPr>
            <w:rStyle w:val="Hyperlink"/>
            <w:rFonts w:cs="Arial"/>
            <w:sz w:val="18"/>
            <w:szCs w:val="18"/>
          </w:rPr>
          <w:t>www.igus.it/press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3" w:history="1">
        <w:r w:rsidRPr="00C92AA8">
          <w:rPr>
            <w:rStyle w:val="Hyperlink"/>
            <w:rFonts w:cs="Arial"/>
            <w:sz w:val="18"/>
            <w:szCs w:val="18"/>
          </w:rPr>
          <w:t>www.igus.eu/press</w:t>
        </w:r>
      </w:hyperlink>
    </w:p>
    <w:p w14:paraId="343F8D6C" w14:textId="77777777" w:rsidR="00B17B88" w:rsidRPr="00254B3D" w:rsidRDefault="00B17B88" w:rsidP="00B17B88">
      <w:pPr>
        <w:rPr>
          <w:b/>
          <w:sz w:val="18"/>
        </w:rPr>
      </w:pPr>
    </w:p>
    <w:p w14:paraId="05212D06" w14:textId="77777777" w:rsidR="00B17B88" w:rsidRPr="00FC461F" w:rsidRDefault="00B17B88" w:rsidP="00B17B88">
      <w:pPr>
        <w:rPr>
          <w:b/>
          <w:sz w:val="18"/>
          <w:lang w:val="fr-FR"/>
        </w:rPr>
      </w:pPr>
    </w:p>
    <w:p w14:paraId="64C8E8EA" w14:textId="77777777" w:rsidR="00B17B88" w:rsidRPr="00FC461F" w:rsidRDefault="00B17B88" w:rsidP="00B17B88">
      <w:pPr>
        <w:rPr>
          <w:b/>
          <w:sz w:val="18"/>
          <w:lang w:val="fr-FR"/>
        </w:rPr>
      </w:pPr>
    </w:p>
    <w:p w14:paraId="0A9C3985" w14:textId="77777777" w:rsidR="00B17B88" w:rsidRPr="00EF0817" w:rsidRDefault="00B17B88" w:rsidP="00B17B88">
      <w:pPr>
        <w:rPr>
          <w:b/>
          <w:sz w:val="18"/>
          <w:lang w:val="en-GB"/>
        </w:rPr>
      </w:pPr>
      <w:r w:rsidRPr="00412E48">
        <w:rPr>
          <w:b/>
          <w:sz w:val="18"/>
          <w:lang w:val="en-US"/>
        </w:rPr>
        <w:t>INFORMAZIONI SU IGUS</w:t>
      </w:r>
    </w:p>
    <w:p w14:paraId="265754FF" w14:textId="77777777" w:rsidR="00B17B88" w:rsidRPr="00EF0817" w:rsidRDefault="00B17B88" w:rsidP="00B17B88">
      <w:pPr>
        <w:overflowPunct/>
        <w:autoSpaceDE/>
        <w:autoSpaceDN/>
        <w:adjustRightInd/>
        <w:textAlignment w:val="auto"/>
        <w:rPr>
          <w:lang w:val="en-GB"/>
        </w:rPr>
      </w:pPr>
    </w:p>
    <w:p w14:paraId="7F647E85" w14:textId="77777777" w:rsidR="00B17B88" w:rsidRPr="00254B3D" w:rsidRDefault="00B17B88" w:rsidP="00B17B88">
      <w:pPr>
        <w:overflowPunct/>
        <w:autoSpaceDE/>
        <w:autoSpaceDN/>
        <w:adjustRightInd/>
        <w:textAlignment w:val="auto"/>
        <w:rPr>
          <w:sz w:val="18"/>
          <w:szCs w:val="18"/>
          <w:lang w:val="en-US"/>
        </w:rPr>
      </w:pPr>
      <w:r w:rsidRPr="00412E48">
        <w:rPr>
          <w:sz w:val="18"/>
          <w:szCs w:val="18"/>
          <w:lang w:val="en-US"/>
        </w:rPr>
        <w:t xml:space="preserve">igus GmbH sviluppa e produce motion plastics.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35 paesi e conta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15</w:t>
      </w:r>
      <w:r w:rsidRPr="00412E48">
        <w:rPr>
          <w:sz w:val="18"/>
          <w:szCs w:val="18"/>
          <w:lang w:val="en-US"/>
        </w:rPr>
        <w:t>0 dipendenti in tutto il mondo. Nel 20</w:t>
      </w:r>
      <w:r>
        <w:rPr>
          <w:sz w:val="18"/>
          <w:szCs w:val="18"/>
          <w:lang w:val="en-US"/>
        </w:rPr>
        <w:t>20</w:t>
      </w:r>
      <w:r w:rsidRPr="00412E48">
        <w:rPr>
          <w:sz w:val="18"/>
          <w:szCs w:val="18"/>
          <w:lang w:val="en-US"/>
        </w:rPr>
        <w:t xml:space="preserve"> igus ha realizzato un fatturato di 7</w:t>
      </w:r>
      <w:r>
        <w:rPr>
          <w:sz w:val="18"/>
          <w:szCs w:val="18"/>
          <w:lang w:val="en-US"/>
        </w:rPr>
        <w:t>27</w:t>
      </w:r>
      <w:r w:rsidRPr="00412E48">
        <w:rPr>
          <w:sz w:val="18"/>
          <w:szCs w:val="18"/>
          <w:lang w:val="en-US"/>
        </w:rPr>
        <w:t xml:space="preserve">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Robotics o per la gamma "smart plastics" di componenti intelligenti per l'Industria 4.0. Tra gli investimenti più significativi in materia ambientale ci sono il programma "chainge" - riciclo di catene portacavi usate - e la partecipazione in un'impresa che mira a produrre petrolio da rifiuti plastici. </w:t>
      </w:r>
    </w:p>
    <w:p w14:paraId="4D56A3E2" w14:textId="77777777" w:rsidR="00B17B88" w:rsidRDefault="00B17B88" w:rsidP="00B17B88">
      <w:pPr>
        <w:rPr>
          <w:sz w:val="18"/>
        </w:rPr>
      </w:pPr>
    </w:p>
    <w:p w14:paraId="0FDA00C7" w14:textId="77777777" w:rsidR="00B17B88" w:rsidRPr="008C0201" w:rsidRDefault="00B17B88" w:rsidP="00B17B88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"chainflex", "CFRIP", "conprotect", "CTD",</w:t>
      </w:r>
      <w:r>
        <w:rPr>
          <w:rFonts w:cs="Arial"/>
          <w:color w:val="BFBFBF"/>
          <w:sz w:val="16"/>
          <w:szCs w:val="16"/>
        </w:rPr>
        <w:t xml:space="preserve"> “drygear”,</w:t>
      </w:r>
      <w:r w:rsidRPr="00CC5C7D">
        <w:rPr>
          <w:rFonts w:cs="Arial"/>
          <w:color w:val="BFBFBF"/>
          <w:sz w:val="16"/>
          <w:szCs w:val="16"/>
        </w:rPr>
        <w:t xml:space="preserve"> "drylin", "dry-tech", "dryspin", "easy chain", "e-chain", "e-chain systems", "e-ketten", "e-kettensysteme", "e-skin", </w:t>
      </w:r>
      <w:r>
        <w:rPr>
          <w:rFonts w:cs="Arial"/>
          <w:color w:val="BFBFBF"/>
          <w:sz w:val="16"/>
          <w:szCs w:val="16"/>
        </w:rPr>
        <w:t xml:space="preserve">“e-spool”, </w:t>
      </w:r>
      <w:r w:rsidRPr="00CC5C7D">
        <w:rPr>
          <w:rFonts w:cs="Arial"/>
          <w:color w:val="BFBFBF"/>
          <w:sz w:val="16"/>
          <w:szCs w:val="16"/>
        </w:rPr>
        <w:t xml:space="preserve">"flizz", “ibow”, “igear”, "iglidur", "igubal", “kineKIT”, "manus", "motion plastics", </w:t>
      </w:r>
      <w:r w:rsidRPr="00201014">
        <w:rPr>
          <w:rFonts w:cs="Arial"/>
          <w:color w:val="BFBFBF"/>
          <w:sz w:val="16"/>
          <w:szCs w:val="16"/>
          <w:lang w:val="en-US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 xml:space="preserve">"pikchain", "plastics for longer life", "readychain", "readycable", “ReBeL”, "speedigus", </w:t>
      </w:r>
      <w:r w:rsidRPr="00893C72">
        <w:rPr>
          <w:rFonts w:cs="Arial"/>
          <w:color w:val="BFBFBF"/>
          <w:sz w:val="16"/>
          <w:szCs w:val="16"/>
        </w:rPr>
        <w:t xml:space="preserve">"tribofilament“, </w:t>
      </w:r>
      <w:r w:rsidRPr="00CC5C7D">
        <w:rPr>
          <w:rFonts w:cs="Arial"/>
          <w:color w:val="BFBFBF"/>
          <w:sz w:val="16"/>
          <w:szCs w:val="16"/>
        </w:rPr>
        <w:t>"triflex", "robolink", "xiro</w:t>
      </w:r>
      <w:r>
        <w:rPr>
          <w:rFonts w:cs="Arial"/>
          <w:color w:val="BFBFBF"/>
          <w:sz w:val="16"/>
          <w:szCs w:val="16"/>
        </w:rPr>
        <w:t>dur</w:t>
      </w:r>
      <w:r w:rsidRPr="00CC5C7D">
        <w:rPr>
          <w:rFonts w:cs="Arial"/>
          <w:color w:val="BFBFBF"/>
          <w:sz w:val="16"/>
          <w:szCs w:val="16"/>
        </w:rPr>
        <w:t>" e "xiros" sono marchi protetti ai sensi delle leggi vigenti sui marchi di fabbrica nella Repubblica Federale Tedesca e in altri paesi, ove applicabile</w:t>
      </w:r>
    </w:p>
    <w:p w14:paraId="4ACE0CD5" w14:textId="77777777" w:rsidR="00B17B88" w:rsidRPr="00323324" w:rsidRDefault="00B17B88" w:rsidP="004518D1">
      <w:pPr>
        <w:overflowPunct/>
        <w:autoSpaceDE/>
        <w:autoSpaceDN/>
        <w:adjustRightInd/>
        <w:jc w:val="left"/>
        <w:textAlignment w:val="auto"/>
        <w:rPr>
          <w:rFonts w:ascii="Calibri" w:eastAsia="Calibri" w:hAnsi="Calibri" w:cs="Calibri"/>
          <w:szCs w:val="22"/>
          <w:lang w:eastAsia="en-US"/>
        </w:rPr>
      </w:pPr>
    </w:p>
    <w:p w14:paraId="4C5EA6C7" w14:textId="77777777" w:rsidR="00B62935" w:rsidRPr="00323324" w:rsidRDefault="00B62935" w:rsidP="00B62935">
      <w:bookmarkStart w:id="2" w:name="_Hlk54684034"/>
    </w:p>
    <w:bookmarkEnd w:id="2"/>
    <w:bookmarkEnd w:id="1"/>
    <w:sectPr w:rsidR="00B62935" w:rsidRPr="00323324" w:rsidSect="00677DEE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6EB6" w14:textId="77777777" w:rsidR="00000000" w:rsidRDefault="00B17B88">
      <w:r>
        <w:separator/>
      </w:r>
    </w:p>
  </w:endnote>
  <w:endnote w:type="continuationSeparator" w:id="0">
    <w:p w14:paraId="31751933" w14:textId="77777777" w:rsidR="00000000" w:rsidRDefault="00B1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8D60" w14:textId="77777777" w:rsidR="000F1248" w:rsidRDefault="00B17B8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D3793D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393A856B" w14:textId="77777777" w:rsidR="000F1248" w:rsidRDefault="00B17B88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9AB5" w14:textId="77777777" w:rsidR="00000000" w:rsidRDefault="00B17B88">
      <w:r>
        <w:separator/>
      </w:r>
    </w:p>
  </w:footnote>
  <w:footnote w:type="continuationSeparator" w:id="0">
    <w:p w14:paraId="10B267DB" w14:textId="77777777" w:rsidR="00000000" w:rsidRDefault="00B1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953A" w14:textId="77777777" w:rsidR="005829F0" w:rsidRDefault="00B17B88">
    <w:pPr>
      <w:pStyle w:val="Kopfzeile"/>
    </w:pPr>
    <w:r>
      <w:rPr>
        <w:noProof/>
      </w:rPr>
      <w:drawing>
        <wp:inline distT="0" distB="0" distL="0" distR="0" wp14:anchorId="11BA9C07" wp14:editId="3F007E6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6016" w14:textId="77777777" w:rsidR="00411E58" w:rsidRPr="002007C5" w:rsidRDefault="00B17B88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10FD0DCE" wp14:editId="57076503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7FDBD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386E1C05" w14:textId="77777777" w:rsidR="00411E58" w:rsidRPr="002007C5" w:rsidRDefault="00B17B88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7335B5EB" w14:textId="77777777" w:rsidR="00411E58" w:rsidRDefault="00411E58" w:rsidP="00411E58">
    <w:pPr>
      <w:pStyle w:val="Kopfzeile"/>
      <w:rPr>
        <w:rStyle w:val="Seitenzahl"/>
      </w:rPr>
    </w:pPr>
  </w:p>
  <w:p w14:paraId="6E90EADC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66D38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40CE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0F06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4276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4707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6CAA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24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55E6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80B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5EE9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27D1E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29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281B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59DA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19DB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B88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29"/>
    <w:rsid w:val="00B87276"/>
    <w:rsid w:val="00B872E3"/>
    <w:rsid w:val="00B87B99"/>
    <w:rsid w:val="00B87E52"/>
    <w:rsid w:val="00B91489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313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44C"/>
    <w:rsid w:val="00DC2F12"/>
    <w:rsid w:val="00DC48BC"/>
    <w:rsid w:val="00DC4AE1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35DB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4709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5E31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09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E935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35D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935D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93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35D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it/info/roller-echain-p4hd" TargetMode="External"/><Relationship Id="rId13" Type="http://schemas.openxmlformats.org/officeDocument/2006/relationships/hyperlink" Target="http://www.igus.eu/pre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ycling.igus.com/it-it/en-gb/energy-chain-recycling-0-6?__hstc=151998182.6d5e5a1c25299d10c14197c0ad32eeb5.1614584480765.1641897087740.1641907134267.534&amp;__hssc=151998182.2.1641907134267&amp;__hsfp=1276557354&amp;_ga=2.116008591.860578917.1641820349-635555421.1616077025" TargetMode="External"/><Relationship Id="rId12" Type="http://schemas.openxmlformats.org/officeDocument/2006/relationships/hyperlink" Target="http://www.igus.it/pres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heinzelmann@igu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olyve@igu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2013-04-16T09:13:00Z</cp:lastPrinted>
  <dcterms:created xsi:type="dcterms:W3CDTF">2021-06-18T06:02:00Z</dcterms:created>
  <dcterms:modified xsi:type="dcterms:W3CDTF">2022-01-11T13:19:00Z</dcterms:modified>
</cp:coreProperties>
</file>