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F7BC" w14:textId="77777777" w:rsidR="006A344E" w:rsidRPr="00924E0F" w:rsidRDefault="006A344E" w:rsidP="00F1692C">
      <w:pPr>
        <w:spacing w:line="360" w:lineRule="auto"/>
        <w:ind w:right="-30"/>
        <w:rPr>
          <w:b/>
          <w:sz w:val="36"/>
          <w:szCs w:val="36"/>
          <w:lang w:val="en-GB"/>
        </w:rPr>
      </w:pPr>
      <w:bookmarkStart w:id="0" w:name="OLE_LINK1"/>
      <w:bookmarkStart w:id="1" w:name="_Hlk526413990"/>
      <w:r w:rsidRPr="00924E0F">
        <w:rPr>
          <w:b/>
          <w:sz w:val="36"/>
          <w:szCs w:val="36"/>
          <w:lang w:val="en-GB"/>
        </w:rPr>
        <w:t xml:space="preserve">Suitable for the desert! </w:t>
      </w:r>
      <w:proofErr w:type="spellStart"/>
      <w:r w:rsidRPr="00924E0F">
        <w:rPr>
          <w:b/>
          <w:sz w:val="36"/>
          <w:szCs w:val="36"/>
          <w:lang w:val="en-GB"/>
        </w:rPr>
        <w:t>igubal</w:t>
      </w:r>
      <w:proofErr w:type="spellEnd"/>
      <w:r w:rsidRPr="00924E0F">
        <w:rPr>
          <w:b/>
          <w:sz w:val="36"/>
          <w:szCs w:val="36"/>
          <w:lang w:val="en-GB"/>
        </w:rPr>
        <w:t xml:space="preserve"> pillow block bearings without lubrication align solar panels</w:t>
      </w:r>
    </w:p>
    <w:p w14:paraId="03E215DE" w14:textId="406EED28" w:rsidR="00F1692C" w:rsidRPr="00924E0F" w:rsidRDefault="0085354D" w:rsidP="00F1692C">
      <w:pPr>
        <w:spacing w:line="360" w:lineRule="auto"/>
        <w:ind w:right="-30"/>
        <w:rPr>
          <w:b/>
          <w:sz w:val="24"/>
          <w:szCs w:val="24"/>
          <w:lang w:val="en-GB"/>
        </w:rPr>
      </w:pPr>
      <w:r w:rsidRPr="00924E0F">
        <w:rPr>
          <w:b/>
          <w:sz w:val="24"/>
          <w:szCs w:val="24"/>
          <w:lang w:val="en-GB"/>
        </w:rPr>
        <w:t>Extended igus solar pillow block bearing series for square profiles, impresses in laboratory tests with a service life of over 72 years</w:t>
      </w:r>
    </w:p>
    <w:p w14:paraId="136D9A53" w14:textId="77777777" w:rsidR="00F1692C" w:rsidRPr="00924E0F" w:rsidRDefault="00F1692C" w:rsidP="00F1692C">
      <w:pPr>
        <w:spacing w:line="360" w:lineRule="auto"/>
        <w:ind w:right="-30"/>
        <w:rPr>
          <w:b/>
          <w:lang w:val="en-GB"/>
        </w:rPr>
      </w:pPr>
    </w:p>
    <w:p w14:paraId="6EC6303A" w14:textId="59FB478B" w:rsidR="00F1692C" w:rsidRPr="00924E0F" w:rsidRDefault="00A03061" w:rsidP="00F1692C">
      <w:pPr>
        <w:spacing w:line="360" w:lineRule="auto"/>
        <w:rPr>
          <w:b/>
          <w:lang w:val="en-GB"/>
        </w:rPr>
      </w:pPr>
      <w:r w:rsidRPr="00924E0F">
        <w:rPr>
          <w:b/>
          <w:lang w:val="en-GB"/>
        </w:rPr>
        <w:t xml:space="preserve">To enable solar panels to generate energy efficiently, solar park operators rely on movable modules that automatically align themselves to the position of the sun and thus ensure a high energy yield. igus has developed the </w:t>
      </w:r>
      <w:proofErr w:type="spellStart"/>
      <w:r w:rsidRPr="00924E0F">
        <w:rPr>
          <w:b/>
          <w:lang w:val="en-GB"/>
        </w:rPr>
        <w:t>igubal</w:t>
      </w:r>
      <w:proofErr w:type="spellEnd"/>
      <w:r w:rsidRPr="00924E0F">
        <w:rPr>
          <w:b/>
          <w:lang w:val="en-GB"/>
        </w:rPr>
        <w:t xml:space="preserve"> ESQM pillow block bearing specifically for mounting the modules on square profiles and has now expanded it with two additional dimensions. Plant operators worldwide receive a lubrication-free solution, resistant to dust and dirt, whose durability has been tested in the laboratory and is guaranteed for 25 years.</w:t>
      </w:r>
    </w:p>
    <w:p w14:paraId="44350540" w14:textId="77777777" w:rsidR="00F1692C" w:rsidRPr="00924E0F" w:rsidRDefault="00F1692C" w:rsidP="00F1692C">
      <w:pPr>
        <w:spacing w:line="360" w:lineRule="auto"/>
        <w:rPr>
          <w:b/>
          <w:lang w:val="en-GB"/>
        </w:rPr>
      </w:pPr>
    </w:p>
    <w:bookmarkEnd w:id="0"/>
    <w:p w14:paraId="41173C8B" w14:textId="435C709E" w:rsidR="008467D8" w:rsidRPr="00924E0F" w:rsidRDefault="008467D8" w:rsidP="008467D8">
      <w:pPr>
        <w:overflowPunct/>
        <w:autoSpaceDE/>
        <w:autoSpaceDN/>
        <w:adjustRightInd/>
        <w:spacing w:line="360" w:lineRule="auto"/>
        <w:textAlignment w:val="auto"/>
        <w:rPr>
          <w:lang w:val="en-GB"/>
        </w:rPr>
      </w:pPr>
      <w:r w:rsidRPr="00924E0F">
        <w:rPr>
          <w:lang w:val="en-GB"/>
        </w:rPr>
        <w:t xml:space="preserve">One economy that is currently booming is the photovoltaic industry. In the first half of 2020 alone, 20% more plants were put into operation in Germany than in 2019. This is shown by the figures of the Federal Association for the German Solar Industry. Solar energy is not only used in Germany, but worldwide. In Spain, photovoltaic systems account for 19% of electricity generation. Plant manufacturers of such photovoltaic fields are facing increasing competition and cost pressure. The electricity production costs should be very low and the utilisation of the modules very high. To this end, more and more operators are turning to bifacial modules that capture the incident light not only via the front but also via the back of the module. To make the bearing of solar panels safe on square tubes, igus has developed the ESQM series of </w:t>
      </w:r>
      <w:proofErr w:type="spellStart"/>
      <w:r w:rsidRPr="00924E0F">
        <w:rPr>
          <w:lang w:val="en-GB"/>
        </w:rPr>
        <w:t>igubal</w:t>
      </w:r>
      <w:proofErr w:type="spellEnd"/>
      <w:r w:rsidRPr="00924E0F">
        <w:rPr>
          <w:lang w:val="en-GB"/>
        </w:rPr>
        <w:t xml:space="preserve"> pillow block bearings, a reliable and tested solution made of high-performance polymer. "Due to the high demand for our bearings in the solar industry, we have now extended our series to include sizes, 100x100mm and 140x140mm. In the dimensions 110x110mm and 120x120mm, the bearing is already used 500,000 times on square tubes worldwide. With the new sizes, we can now offer other suppliers a long-lasting solution", explains Richard Won, Industry Manager Renewable Energy at igus GmbH.</w:t>
      </w:r>
    </w:p>
    <w:p w14:paraId="337A8799" w14:textId="7D99C6F6" w:rsidR="008E13F8" w:rsidRPr="00924E0F" w:rsidRDefault="008E13F8">
      <w:pPr>
        <w:overflowPunct/>
        <w:autoSpaceDE/>
        <w:autoSpaceDN/>
        <w:adjustRightInd/>
        <w:jc w:val="left"/>
        <w:textAlignment w:val="auto"/>
        <w:rPr>
          <w:b/>
          <w:bCs/>
          <w:lang w:val="en-GB"/>
        </w:rPr>
      </w:pPr>
      <w:r w:rsidRPr="00924E0F">
        <w:rPr>
          <w:b/>
          <w:bCs/>
          <w:lang w:val="en-GB"/>
        </w:rPr>
        <w:br w:type="page"/>
      </w:r>
    </w:p>
    <w:p w14:paraId="7EB0D005" w14:textId="77777777" w:rsidR="008467D8" w:rsidRPr="00924E0F" w:rsidRDefault="008467D8" w:rsidP="008467D8">
      <w:pPr>
        <w:overflowPunct/>
        <w:autoSpaceDE/>
        <w:autoSpaceDN/>
        <w:adjustRightInd/>
        <w:spacing w:line="360" w:lineRule="auto"/>
        <w:textAlignment w:val="auto"/>
        <w:rPr>
          <w:b/>
          <w:bCs/>
          <w:lang w:val="en-GB"/>
        </w:rPr>
      </w:pPr>
      <w:r w:rsidRPr="00924E0F">
        <w:rPr>
          <w:b/>
          <w:bCs/>
          <w:lang w:val="en-GB"/>
        </w:rPr>
        <w:lastRenderedPageBreak/>
        <w:t>Test confirms: Bearings last 72 years</w:t>
      </w:r>
    </w:p>
    <w:p w14:paraId="60294F0B" w14:textId="5F87E26F" w:rsidR="00F1692C" w:rsidRPr="00924E0F" w:rsidRDefault="008467D8" w:rsidP="008467D8">
      <w:pPr>
        <w:overflowPunct/>
        <w:autoSpaceDE/>
        <w:autoSpaceDN/>
        <w:adjustRightInd/>
        <w:spacing w:line="360" w:lineRule="auto"/>
        <w:textAlignment w:val="auto"/>
        <w:rPr>
          <w:lang w:val="en-GB"/>
        </w:rPr>
      </w:pPr>
      <w:r w:rsidRPr="00924E0F">
        <w:rPr>
          <w:lang w:val="en-GB"/>
        </w:rPr>
        <w:t xml:space="preserve">The </w:t>
      </w:r>
      <w:proofErr w:type="spellStart"/>
      <w:r w:rsidRPr="00924E0F">
        <w:rPr>
          <w:lang w:val="en-GB"/>
        </w:rPr>
        <w:t>igubal</w:t>
      </w:r>
      <w:proofErr w:type="spellEnd"/>
      <w:r w:rsidRPr="00924E0F">
        <w:rPr>
          <w:lang w:val="en-GB"/>
        </w:rPr>
        <w:t xml:space="preserve"> bearing consists of a polymer housing made of </w:t>
      </w:r>
      <w:proofErr w:type="spellStart"/>
      <w:r w:rsidRPr="00924E0F">
        <w:rPr>
          <w:lang w:val="en-GB"/>
        </w:rPr>
        <w:t>igumid</w:t>
      </w:r>
      <w:proofErr w:type="spellEnd"/>
      <w:r w:rsidRPr="00924E0F">
        <w:rPr>
          <w:lang w:val="en-GB"/>
        </w:rPr>
        <w:t xml:space="preserve"> G and a spherical ball made of </w:t>
      </w:r>
      <w:proofErr w:type="spellStart"/>
      <w:r w:rsidRPr="00924E0F">
        <w:rPr>
          <w:lang w:val="en-GB"/>
        </w:rPr>
        <w:t>iglidur</w:t>
      </w:r>
      <w:proofErr w:type="spellEnd"/>
      <w:r w:rsidRPr="00924E0F">
        <w:rPr>
          <w:lang w:val="en-GB"/>
        </w:rPr>
        <w:t xml:space="preserve"> J4. The tribo-polymers ensure that the bearing is UV-resistant and corrosion-free. In addition, the pillow block bearing is completely lubrication-free, which makes it insensitive to dust and dirt and maintenance-free. At the same time, it easily compensates for misalignments, caused by an uneven surface, for example. In the company's own 3,800 square metre test laboratory, the service life, wear resistance and load capacity were examined under real loads of the daily motion sequence, simulated in a time-lapse. The number of movements achieved under a load of 1.5 tons corresponds to a service life of 72 years. </w:t>
      </w:r>
      <w:proofErr w:type="gramStart"/>
      <w:r w:rsidRPr="00924E0F">
        <w:rPr>
          <w:lang w:val="en-GB"/>
        </w:rPr>
        <w:t>This is why</w:t>
      </w:r>
      <w:proofErr w:type="gramEnd"/>
      <w:r w:rsidRPr="00924E0F">
        <w:rPr>
          <w:lang w:val="en-GB"/>
        </w:rPr>
        <w:t xml:space="preserve"> igus guarantees a runtime of 25 years, which corresponds to the standard service life of a solar module. </w:t>
      </w:r>
    </w:p>
    <w:p w14:paraId="2BCA4352" w14:textId="77777777" w:rsidR="00F1692C" w:rsidRPr="00924E0F" w:rsidRDefault="00F1692C" w:rsidP="00AB0D1C">
      <w:pPr>
        <w:overflowPunct/>
        <w:autoSpaceDE/>
        <w:autoSpaceDN/>
        <w:adjustRightInd/>
        <w:jc w:val="left"/>
        <w:textAlignment w:val="auto"/>
        <w:rPr>
          <w:lang w:val="en-GB"/>
        </w:rPr>
      </w:pPr>
    </w:p>
    <w:p w14:paraId="098570F7" w14:textId="7001B0CD" w:rsidR="00AB0D1C" w:rsidRPr="00924E0F" w:rsidRDefault="00756E86" w:rsidP="00756E86">
      <w:pPr>
        <w:overflowPunct/>
        <w:autoSpaceDE/>
        <w:autoSpaceDN/>
        <w:adjustRightInd/>
        <w:spacing w:line="360" w:lineRule="auto"/>
        <w:jc w:val="left"/>
        <w:textAlignment w:val="auto"/>
        <w:rPr>
          <w:lang w:val="en-GB"/>
        </w:rPr>
      </w:pPr>
      <w:r w:rsidRPr="00924E0F">
        <w:rPr>
          <w:lang w:val="en-GB"/>
        </w:rPr>
        <w:t xml:space="preserve">Further information about the solar pedestal bearing can be found at: </w:t>
      </w:r>
      <w:hyperlink r:id="rId7" w:history="1">
        <w:r w:rsidRPr="00924E0F">
          <w:rPr>
            <w:rStyle w:val="Hyperlink"/>
            <w:lang w:val="en-GB"/>
          </w:rPr>
          <w:t>https://www.igus.eu/info/n20-09-03-igubal-solar-pillow-block-bearing?L=en</w:t>
        </w:r>
      </w:hyperlink>
    </w:p>
    <w:p w14:paraId="0BE8A1C9" w14:textId="1A376E9D" w:rsidR="00756E86" w:rsidRPr="00924E0F" w:rsidRDefault="00756E86" w:rsidP="00AB0D1C">
      <w:pPr>
        <w:overflowPunct/>
        <w:autoSpaceDE/>
        <w:autoSpaceDN/>
        <w:adjustRightInd/>
        <w:jc w:val="left"/>
        <w:textAlignment w:val="auto"/>
        <w:rPr>
          <w:lang w:val="en-GB"/>
        </w:rPr>
      </w:pPr>
    </w:p>
    <w:p w14:paraId="5B9B2C9D" w14:textId="72742E10" w:rsidR="001F422F" w:rsidRPr="00924E0F" w:rsidRDefault="00641CBD" w:rsidP="009F4448">
      <w:pPr>
        <w:overflowPunct/>
        <w:autoSpaceDE/>
        <w:autoSpaceDN/>
        <w:adjustRightInd/>
        <w:spacing w:line="360" w:lineRule="auto"/>
        <w:jc w:val="left"/>
        <w:textAlignment w:val="auto"/>
        <w:rPr>
          <w:lang w:val="en-GB"/>
        </w:rPr>
      </w:pPr>
      <w:r w:rsidRPr="00924E0F">
        <w:rPr>
          <w:lang w:val="en-GB"/>
        </w:rPr>
        <w:t>You can watch the video of the test on YouTube:</w:t>
      </w:r>
    </w:p>
    <w:p w14:paraId="2D094DF8" w14:textId="388568D9" w:rsidR="00641CBD" w:rsidRPr="00924E0F" w:rsidRDefault="00924E0F" w:rsidP="009F4448">
      <w:pPr>
        <w:overflowPunct/>
        <w:autoSpaceDE/>
        <w:autoSpaceDN/>
        <w:adjustRightInd/>
        <w:spacing w:line="360" w:lineRule="auto"/>
        <w:jc w:val="left"/>
        <w:textAlignment w:val="auto"/>
        <w:rPr>
          <w:lang w:val="en-GB"/>
        </w:rPr>
      </w:pPr>
      <w:hyperlink r:id="rId8" w:history="1">
        <w:r w:rsidR="006335BC" w:rsidRPr="00924E0F">
          <w:rPr>
            <w:rStyle w:val="Hyperlink"/>
            <w:lang w:val="en-GB"/>
          </w:rPr>
          <w:t>https://youtu.be/LqijDrJLLDM</w:t>
        </w:r>
      </w:hyperlink>
    </w:p>
    <w:p w14:paraId="33FB3915" w14:textId="7D949E57" w:rsidR="00AB0D1C" w:rsidRDefault="00AB0D1C" w:rsidP="00AB0D1C">
      <w:pPr>
        <w:overflowPunct/>
        <w:autoSpaceDE/>
        <w:autoSpaceDN/>
        <w:adjustRightInd/>
        <w:spacing w:line="360" w:lineRule="auto"/>
        <w:textAlignment w:val="auto"/>
        <w:rPr>
          <w:lang w:val="en-GB"/>
        </w:rPr>
      </w:pPr>
    </w:p>
    <w:p w14:paraId="498B6145" w14:textId="031F830A" w:rsidR="00924E0F" w:rsidRDefault="00924E0F" w:rsidP="00AB0D1C">
      <w:pPr>
        <w:overflowPunct/>
        <w:autoSpaceDE/>
        <w:autoSpaceDN/>
        <w:adjustRightInd/>
        <w:spacing w:line="360" w:lineRule="auto"/>
        <w:textAlignment w:val="auto"/>
        <w:rPr>
          <w:lang w:val="en-GB"/>
        </w:rPr>
      </w:pPr>
    </w:p>
    <w:p w14:paraId="6AF2CA7B" w14:textId="77777777" w:rsidR="00924E0F" w:rsidRPr="00924E0F" w:rsidRDefault="00924E0F" w:rsidP="00AB0D1C">
      <w:pPr>
        <w:overflowPunct/>
        <w:autoSpaceDE/>
        <w:autoSpaceDN/>
        <w:adjustRightInd/>
        <w:spacing w:line="360" w:lineRule="auto"/>
        <w:textAlignment w:val="auto"/>
        <w:rPr>
          <w:lang w:val="en-GB"/>
        </w:rPr>
      </w:pPr>
      <w:bookmarkStart w:id="2" w:name="_GoBack"/>
      <w:bookmarkEnd w:id="2"/>
    </w:p>
    <w:p w14:paraId="13EFCF08" w14:textId="77777777" w:rsidR="00924E0F" w:rsidRPr="00924E0F" w:rsidRDefault="00AB0D1C" w:rsidP="00AB0D1C">
      <w:pPr>
        <w:suppressAutoHyphens/>
        <w:spacing w:line="360" w:lineRule="auto"/>
        <w:rPr>
          <w:b/>
          <w:lang w:val="en-GB"/>
        </w:rPr>
      </w:pPr>
      <w:r w:rsidRPr="00924E0F">
        <w:rPr>
          <w:b/>
          <w:lang w:val="en-GB"/>
        </w:rPr>
        <w:t>Caption:</w:t>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924E0F" w:rsidRPr="00613A3C" w14:paraId="542F8CAC" w14:textId="77777777" w:rsidTr="002A2E78">
        <w:tc>
          <w:tcPr>
            <w:tcW w:w="3402" w:type="dxa"/>
          </w:tcPr>
          <w:p w14:paraId="71E6285D" w14:textId="77777777" w:rsidR="00924E0F" w:rsidRPr="00924E0F" w:rsidRDefault="00924E0F" w:rsidP="002A2E78">
            <w:pPr>
              <w:rPr>
                <w:b/>
                <w:sz w:val="18"/>
                <w:lang w:val="en-GB"/>
              </w:rPr>
            </w:pPr>
            <w:bookmarkStart w:id="3" w:name="_Hlk39676655"/>
            <w:r w:rsidRPr="00924E0F">
              <w:rPr>
                <w:b/>
                <w:sz w:val="18"/>
                <w:lang w:val="en-GB"/>
              </w:rPr>
              <w:t>PRESS CONTACT:</w:t>
            </w:r>
          </w:p>
          <w:p w14:paraId="25A77C69" w14:textId="77777777" w:rsidR="00924E0F" w:rsidRPr="00924E0F" w:rsidRDefault="00924E0F" w:rsidP="002A2E78">
            <w:pPr>
              <w:rPr>
                <w:sz w:val="18"/>
                <w:lang w:val="en-GB"/>
              </w:rPr>
            </w:pPr>
          </w:p>
          <w:p w14:paraId="255C8F1B" w14:textId="77777777" w:rsidR="00924E0F" w:rsidRPr="00924E0F" w:rsidRDefault="00924E0F" w:rsidP="002A2E78">
            <w:pPr>
              <w:rPr>
                <w:sz w:val="18"/>
                <w:lang w:val="en-GB"/>
              </w:rPr>
            </w:pPr>
            <w:r w:rsidRPr="00924E0F">
              <w:rPr>
                <w:sz w:val="18"/>
                <w:lang w:val="en-GB"/>
              </w:rPr>
              <w:t>Oliver Cyrus</w:t>
            </w:r>
          </w:p>
          <w:p w14:paraId="6AEAB2CE" w14:textId="77777777" w:rsidR="00924E0F" w:rsidRPr="00924E0F" w:rsidRDefault="00924E0F" w:rsidP="002A2E78">
            <w:pPr>
              <w:rPr>
                <w:sz w:val="18"/>
                <w:lang w:val="en-GB"/>
              </w:rPr>
            </w:pPr>
            <w:r w:rsidRPr="00924E0F">
              <w:rPr>
                <w:sz w:val="18"/>
                <w:lang w:val="en-GB"/>
              </w:rPr>
              <w:t>Head of PR and Advertising</w:t>
            </w:r>
          </w:p>
          <w:p w14:paraId="48DA8B49" w14:textId="77777777" w:rsidR="00924E0F" w:rsidRPr="0074672A" w:rsidRDefault="00924E0F" w:rsidP="002A2E78">
            <w:pPr>
              <w:rPr>
                <w:sz w:val="18"/>
                <w:lang w:val="en-US"/>
              </w:rPr>
            </w:pPr>
          </w:p>
          <w:p w14:paraId="031E5281" w14:textId="77777777" w:rsidR="00924E0F" w:rsidRPr="00924E0F" w:rsidRDefault="00924E0F" w:rsidP="002A2E78">
            <w:pPr>
              <w:rPr>
                <w:sz w:val="18"/>
                <w:lang w:val="en-GB"/>
              </w:rPr>
            </w:pPr>
            <w:r w:rsidRPr="00924E0F">
              <w:rPr>
                <w:sz w:val="18"/>
                <w:lang w:val="en-GB"/>
              </w:rPr>
              <w:t>Anja Görtz-Olscher</w:t>
            </w:r>
          </w:p>
          <w:p w14:paraId="3D4FD051" w14:textId="77777777" w:rsidR="00924E0F" w:rsidRPr="00924E0F" w:rsidRDefault="00924E0F" w:rsidP="002A2E78">
            <w:pPr>
              <w:rPr>
                <w:sz w:val="18"/>
                <w:lang w:val="en-GB"/>
              </w:rPr>
            </w:pPr>
            <w:r w:rsidRPr="00924E0F">
              <w:rPr>
                <w:sz w:val="18"/>
                <w:lang w:val="en-GB"/>
              </w:rPr>
              <w:t>PR and Advertising</w:t>
            </w:r>
          </w:p>
          <w:p w14:paraId="39F788C6" w14:textId="77777777" w:rsidR="00924E0F" w:rsidRPr="00924E0F" w:rsidRDefault="00924E0F" w:rsidP="002A2E78">
            <w:pPr>
              <w:rPr>
                <w:sz w:val="18"/>
                <w:lang w:val="en-GB"/>
              </w:rPr>
            </w:pPr>
          </w:p>
          <w:p w14:paraId="6846DA23" w14:textId="77777777" w:rsidR="00924E0F" w:rsidRPr="0074672A" w:rsidRDefault="00924E0F" w:rsidP="002A2E7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012B5220" w14:textId="77777777" w:rsidR="00924E0F" w:rsidRPr="00924E0F" w:rsidRDefault="00924E0F" w:rsidP="002A2E78">
            <w:pPr>
              <w:rPr>
                <w:sz w:val="18"/>
                <w:lang w:val="en-GB"/>
              </w:rPr>
            </w:pPr>
            <w:proofErr w:type="spellStart"/>
            <w:r w:rsidRPr="00924E0F">
              <w:rPr>
                <w:sz w:val="18"/>
                <w:lang w:val="en-GB"/>
              </w:rPr>
              <w:t>Spicher</w:t>
            </w:r>
            <w:proofErr w:type="spellEnd"/>
            <w:r w:rsidRPr="00924E0F">
              <w:rPr>
                <w:sz w:val="18"/>
                <w:lang w:val="en-GB"/>
              </w:rPr>
              <w:t xml:space="preserve"> Str. 1a</w:t>
            </w:r>
          </w:p>
          <w:p w14:paraId="75FA4E31" w14:textId="77777777" w:rsidR="00924E0F" w:rsidRPr="00924E0F" w:rsidRDefault="00924E0F" w:rsidP="002A2E78">
            <w:pPr>
              <w:rPr>
                <w:sz w:val="18"/>
                <w:lang w:val="en-GB"/>
              </w:rPr>
            </w:pPr>
            <w:r w:rsidRPr="00924E0F">
              <w:rPr>
                <w:sz w:val="18"/>
                <w:lang w:val="en-GB"/>
              </w:rPr>
              <w:t>51147 Cologne</w:t>
            </w:r>
          </w:p>
          <w:p w14:paraId="1E96B354" w14:textId="77777777" w:rsidR="00924E0F" w:rsidRPr="00924E0F" w:rsidRDefault="00924E0F" w:rsidP="002A2E78">
            <w:pPr>
              <w:rPr>
                <w:sz w:val="18"/>
                <w:lang w:val="en-GB"/>
              </w:rPr>
            </w:pPr>
            <w:r w:rsidRPr="00924E0F">
              <w:rPr>
                <w:sz w:val="18"/>
                <w:lang w:val="en-GB"/>
              </w:rPr>
              <w:t>Tel. 0 22 03 / 96 49-459 or -7153</w:t>
            </w:r>
          </w:p>
          <w:p w14:paraId="166A5065" w14:textId="77777777" w:rsidR="00924E0F" w:rsidRPr="00D75861" w:rsidRDefault="00924E0F" w:rsidP="002A2E78">
            <w:pPr>
              <w:rPr>
                <w:sz w:val="18"/>
                <w:lang w:val="fr-FR"/>
              </w:rPr>
            </w:pPr>
            <w:r w:rsidRPr="00D75861">
              <w:rPr>
                <w:sz w:val="18"/>
                <w:lang w:val="fr-FR"/>
              </w:rPr>
              <w:t>Fax 0 22 03 / 96 49-631</w:t>
            </w:r>
          </w:p>
          <w:p w14:paraId="079AF2FC" w14:textId="77777777" w:rsidR="00924E0F" w:rsidRDefault="00924E0F" w:rsidP="002A2E78">
            <w:pPr>
              <w:rPr>
                <w:sz w:val="18"/>
                <w:lang w:val="fr-FR"/>
              </w:rPr>
            </w:pPr>
            <w:r w:rsidRPr="002060FF">
              <w:rPr>
                <w:sz w:val="18"/>
                <w:lang w:val="fr-FR"/>
              </w:rPr>
              <w:t>ocyrus@igus.</w:t>
            </w:r>
            <w:r>
              <w:rPr>
                <w:sz w:val="18"/>
                <w:lang w:val="fr-FR"/>
              </w:rPr>
              <w:t>net</w:t>
            </w:r>
          </w:p>
          <w:p w14:paraId="5E685B2D" w14:textId="77777777" w:rsidR="00924E0F" w:rsidRPr="00D75861" w:rsidRDefault="00924E0F" w:rsidP="002A2E78">
            <w:pPr>
              <w:rPr>
                <w:sz w:val="18"/>
                <w:lang w:val="fr-FR"/>
              </w:rPr>
            </w:pPr>
            <w:r>
              <w:rPr>
                <w:sz w:val="18"/>
                <w:lang w:val="fr-FR"/>
              </w:rPr>
              <w:t>agoertz@igus.net</w:t>
            </w:r>
          </w:p>
          <w:p w14:paraId="647EBEF0" w14:textId="77777777" w:rsidR="00924E0F" w:rsidRPr="00FE0BC9" w:rsidRDefault="00924E0F" w:rsidP="002A2E78">
            <w:pPr>
              <w:rPr>
                <w:sz w:val="18"/>
                <w:lang w:val="fr-FR"/>
              </w:rPr>
            </w:pPr>
            <w:r>
              <w:rPr>
                <w:sz w:val="18"/>
                <w:lang w:val="fr-FR"/>
              </w:rPr>
              <w:t>www.igus.eu/press</w:t>
            </w:r>
          </w:p>
        </w:tc>
        <w:tc>
          <w:tcPr>
            <w:tcW w:w="4323" w:type="dxa"/>
          </w:tcPr>
          <w:p w14:paraId="6D6FE51C" w14:textId="77777777" w:rsidR="00924E0F" w:rsidRPr="00924E0F" w:rsidRDefault="00924E0F" w:rsidP="002A2E78">
            <w:pPr>
              <w:rPr>
                <w:b/>
                <w:sz w:val="18"/>
                <w:lang w:val="en-GB"/>
              </w:rPr>
            </w:pPr>
            <w:r w:rsidRPr="00924E0F">
              <w:rPr>
                <w:b/>
                <w:sz w:val="18"/>
                <w:lang w:val="en-GB"/>
              </w:rPr>
              <w:t>ABOUT IGUS:</w:t>
            </w:r>
          </w:p>
          <w:p w14:paraId="78B560E6" w14:textId="77777777" w:rsidR="00924E0F" w:rsidRPr="00924E0F" w:rsidRDefault="00924E0F" w:rsidP="002A2E78">
            <w:pPr>
              <w:rPr>
                <w:sz w:val="18"/>
                <w:lang w:val="en-GB"/>
              </w:rPr>
            </w:pPr>
          </w:p>
          <w:p w14:paraId="61534FF6" w14:textId="77777777" w:rsidR="00924E0F" w:rsidRPr="00924E0F" w:rsidRDefault="00924E0F" w:rsidP="002A2E78">
            <w:pPr>
              <w:rPr>
                <w:sz w:val="18"/>
                <w:lang w:val="en-GB"/>
              </w:rPr>
            </w:pPr>
            <w:r w:rsidRPr="00924E0F">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3F348970" w14:textId="77777777" w:rsidR="00924E0F" w:rsidRPr="00924E0F" w:rsidRDefault="00924E0F" w:rsidP="00924E0F">
      <w:pPr>
        <w:spacing w:line="300" w:lineRule="exact"/>
        <w:ind w:right="-284"/>
        <w:rPr>
          <w:color w:val="C0C0C0"/>
          <w:sz w:val="16"/>
          <w:szCs w:val="16"/>
          <w:lang w:val="en-GB"/>
        </w:rPr>
      </w:pPr>
    </w:p>
    <w:p w14:paraId="5D895731" w14:textId="77777777" w:rsidR="00924E0F" w:rsidRPr="00924E0F" w:rsidRDefault="00924E0F" w:rsidP="00924E0F">
      <w:pPr>
        <w:spacing w:line="360" w:lineRule="auto"/>
        <w:ind w:right="-28"/>
        <w:rPr>
          <w:rFonts w:cs="Arial"/>
          <w:sz w:val="16"/>
          <w:szCs w:val="16"/>
          <w:lang w:val="en-GB"/>
        </w:rPr>
      </w:pPr>
      <w:r w:rsidRPr="00924E0F">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924E0F">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924E0F">
        <w:rPr>
          <w:rFonts w:cs="Arial"/>
          <w:color w:val="C0C0C0"/>
          <w:sz w:val="16"/>
          <w:szCs w:val="16"/>
          <w:lang w:val="en-GB"/>
        </w:rPr>
        <w:t>are protected by trademark laws in the Federal Republic of Germany and internationally, where applicable.</w:t>
      </w:r>
      <w:r w:rsidRPr="00924E0F">
        <w:rPr>
          <w:rFonts w:cs="Arial"/>
          <w:sz w:val="16"/>
          <w:szCs w:val="16"/>
          <w:lang w:val="en-GB"/>
        </w:rPr>
        <w:t xml:space="preserve"> </w:t>
      </w:r>
      <w:bookmarkEnd w:id="3"/>
    </w:p>
    <w:p w14:paraId="47C99AEB" w14:textId="7C84F675" w:rsidR="00AB0D1C" w:rsidRPr="00924E0F" w:rsidRDefault="00AB0D1C" w:rsidP="00AB0D1C">
      <w:pPr>
        <w:suppressAutoHyphens/>
        <w:spacing w:line="360" w:lineRule="auto"/>
        <w:rPr>
          <w:b/>
          <w:lang w:val="en-GB"/>
        </w:rPr>
      </w:pPr>
    </w:p>
    <w:p w14:paraId="1C48FD5E" w14:textId="77777777" w:rsidR="00AB0D1C" w:rsidRPr="00924E0F" w:rsidRDefault="00AB0D1C" w:rsidP="00AB0D1C">
      <w:pPr>
        <w:suppressAutoHyphens/>
        <w:spacing w:line="360" w:lineRule="auto"/>
        <w:rPr>
          <w:b/>
          <w:lang w:val="en-GB"/>
        </w:rPr>
      </w:pPr>
    </w:p>
    <w:p w14:paraId="372CCA61" w14:textId="172943EF" w:rsidR="00AB0D1C" w:rsidRPr="007E3E94" w:rsidRDefault="006A344E" w:rsidP="00AB0D1C">
      <w:pPr>
        <w:suppressAutoHyphens/>
        <w:spacing w:line="360" w:lineRule="auto"/>
        <w:rPr>
          <w:b/>
        </w:rPr>
      </w:pPr>
      <w:r>
        <w:rPr>
          <w:noProof/>
        </w:rPr>
        <w:drawing>
          <wp:inline distT="0" distB="0" distL="0" distR="0" wp14:anchorId="47908283" wp14:editId="4559A24D">
            <wp:extent cx="3298234" cy="2447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831" cy="2449853"/>
                    </a:xfrm>
                    <a:prstGeom prst="rect">
                      <a:avLst/>
                    </a:prstGeom>
                    <a:noFill/>
                    <a:ln>
                      <a:noFill/>
                    </a:ln>
                  </pic:spPr>
                </pic:pic>
              </a:graphicData>
            </a:graphic>
          </wp:inline>
        </w:drawing>
      </w:r>
    </w:p>
    <w:p w14:paraId="4C5CACCD" w14:textId="2468CA06" w:rsidR="00AB0D1C" w:rsidRPr="00924E0F" w:rsidRDefault="00AB0D1C" w:rsidP="00AB0D1C">
      <w:pPr>
        <w:suppressAutoHyphens/>
        <w:spacing w:line="360" w:lineRule="auto"/>
        <w:rPr>
          <w:rFonts w:cs="Arial"/>
          <w:b/>
          <w:szCs w:val="22"/>
          <w:lang w:val="en-GB"/>
        </w:rPr>
      </w:pPr>
      <w:r w:rsidRPr="00924E0F">
        <w:rPr>
          <w:rFonts w:cs="Arial"/>
          <w:b/>
          <w:szCs w:val="22"/>
          <w:lang w:val="en-GB"/>
        </w:rPr>
        <w:t>Picture PM4520-1</w:t>
      </w:r>
    </w:p>
    <w:p w14:paraId="1A5E0BD7" w14:textId="5FFD4DF5" w:rsidR="00AB0D1C" w:rsidRPr="007E3E94" w:rsidRDefault="00F07F77" w:rsidP="00AB0D1C">
      <w:pPr>
        <w:suppressAutoHyphens/>
        <w:spacing w:line="360" w:lineRule="auto"/>
      </w:pPr>
      <w:r w:rsidRPr="00924E0F">
        <w:rPr>
          <w:lang w:val="en-GB"/>
        </w:rPr>
        <w:t xml:space="preserve">The maintenance-free and long-lasting </w:t>
      </w:r>
      <w:proofErr w:type="spellStart"/>
      <w:r w:rsidRPr="00924E0F">
        <w:rPr>
          <w:lang w:val="en-GB"/>
        </w:rPr>
        <w:t>igubal</w:t>
      </w:r>
      <w:proofErr w:type="spellEnd"/>
      <w:r w:rsidRPr="00924E0F">
        <w:rPr>
          <w:lang w:val="en-GB"/>
        </w:rPr>
        <w:t xml:space="preserve"> pillow block bearing aligns solar modules reliably in a lubrication-free application. </w:t>
      </w:r>
      <w:r>
        <w:t>(Source: igus GmbH)</w:t>
      </w:r>
    </w:p>
    <w:p w14:paraId="24F90901" w14:textId="77777777" w:rsidR="00AB0D1C" w:rsidRPr="007E3E94" w:rsidRDefault="00AB0D1C" w:rsidP="00AB0D1C">
      <w:pPr>
        <w:suppressAutoHyphens/>
        <w:spacing w:line="360" w:lineRule="auto"/>
      </w:pPr>
    </w:p>
    <w:p w14:paraId="00DB334C" w14:textId="77777777" w:rsidR="00AB0D1C" w:rsidRPr="007E3E94" w:rsidRDefault="00AB0D1C" w:rsidP="00AB0D1C">
      <w:pPr>
        <w:suppressAutoHyphens/>
        <w:spacing w:line="360" w:lineRule="auto"/>
      </w:pPr>
    </w:p>
    <w:p w14:paraId="744BAC78" w14:textId="77777777" w:rsidR="00AB0D1C" w:rsidRPr="007E3E94" w:rsidRDefault="00AB0D1C" w:rsidP="00AB0D1C">
      <w:pPr>
        <w:suppressAutoHyphens/>
        <w:spacing w:line="360" w:lineRule="auto"/>
      </w:pPr>
    </w:p>
    <w:p w14:paraId="16246AD6" w14:textId="77777777" w:rsidR="000C794D" w:rsidRPr="007E3E94" w:rsidRDefault="000C794D" w:rsidP="007E3E94">
      <w:pPr>
        <w:suppressAutoHyphens/>
        <w:spacing w:line="360" w:lineRule="auto"/>
      </w:pPr>
    </w:p>
    <w:bookmarkEnd w:id="1"/>
    <w:p w14:paraId="0E2360B2" w14:textId="77777777" w:rsidR="00E01E24" w:rsidRPr="007E3E94" w:rsidRDefault="00E01E24" w:rsidP="007E3E94">
      <w:pPr>
        <w:suppressAutoHyphens/>
        <w:spacing w:line="360" w:lineRule="auto"/>
      </w:pPr>
    </w:p>
    <w:p w14:paraId="7E41550B" w14:textId="77777777" w:rsidR="00E01E24" w:rsidRPr="007E3E94" w:rsidRDefault="00E01E24" w:rsidP="007E3E94">
      <w:pPr>
        <w:suppressAutoHyphens/>
        <w:spacing w:line="360" w:lineRule="auto"/>
      </w:pPr>
    </w:p>
    <w:sectPr w:rsidR="00E01E24"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6E83E" w14:textId="77777777" w:rsidR="001665B7" w:rsidRDefault="001665B7">
      <w:r>
        <w:separator/>
      </w:r>
    </w:p>
  </w:endnote>
  <w:endnote w:type="continuationSeparator" w:id="0">
    <w:p w14:paraId="329C58AC" w14:textId="77777777" w:rsidR="001665B7" w:rsidRDefault="0016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842E"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3EB3A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3340AF1"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51A0" w14:textId="77777777" w:rsidR="001665B7" w:rsidRDefault="001665B7">
      <w:r>
        <w:separator/>
      </w:r>
    </w:p>
  </w:footnote>
  <w:footnote w:type="continuationSeparator" w:id="0">
    <w:p w14:paraId="02DB4B52" w14:textId="77777777" w:rsidR="001665B7" w:rsidRDefault="0016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33D7" w14:textId="77777777" w:rsidR="005829F0" w:rsidRDefault="00024302">
    <w:pPr>
      <w:pStyle w:val="Kopfzeile"/>
    </w:pPr>
    <w:r>
      <w:rPr>
        <w:noProof/>
      </w:rPr>
      <w:drawing>
        <wp:inline distT="0" distB="0" distL="0" distR="0" wp14:anchorId="4D5AB949" wp14:editId="2C830A1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70D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A264B9A" wp14:editId="6A2F1E7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CF59E" w14:textId="77777777" w:rsidR="00411E58" w:rsidRPr="000F1248" w:rsidRDefault="00411E58" w:rsidP="00411E58">
    <w:pPr>
      <w:pStyle w:val="Kopfzeile"/>
      <w:tabs>
        <w:tab w:val="clear" w:pos="4536"/>
        <w:tab w:val="clear" w:pos="9072"/>
        <w:tab w:val="right" w:pos="1276"/>
      </w:tabs>
    </w:pPr>
  </w:p>
  <w:p w14:paraId="1E47734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61D820B" w14:textId="77777777" w:rsidR="00411E58" w:rsidRDefault="00411E58" w:rsidP="00411E58">
    <w:pPr>
      <w:pStyle w:val="Kopfzeile"/>
      <w:rPr>
        <w:rStyle w:val="Seitenzahl"/>
      </w:rPr>
    </w:pPr>
  </w:p>
  <w:p w14:paraId="2512BC6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735"/>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5B7"/>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975"/>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422F"/>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5F07"/>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0F6B"/>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6974"/>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96A"/>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5BC"/>
    <w:rsid w:val="006336BA"/>
    <w:rsid w:val="00633B81"/>
    <w:rsid w:val="00634B51"/>
    <w:rsid w:val="00636097"/>
    <w:rsid w:val="006362BB"/>
    <w:rsid w:val="006375EE"/>
    <w:rsid w:val="00637EEA"/>
    <w:rsid w:val="00641CBD"/>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FFD"/>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44E"/>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5FE5"/>
    <w:rsid w:val="00756323"/>
    <w:rsid w:val="00756E86"/>
    <w:rsid w:val="00757C5F"/>
    <w:rsid w:val="00760004"/>
    <w:rsid w:val="00760DA4"/>
    <w:rsid w:val="007617D5"/>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54D"/>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3F8"/>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0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F73"/>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7CF5"/>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448"/>
    <w:rsid w:val="009F5349"/>
    <w:rsid w:val="009F7A1C"/>
    <w:rsid w:val="00A00857"/>
    <w:rsid w:val="00A01CD8"/>
    <w:rsid w:val="00A02460"/>
    <w:rsid w:val="00A024A2"/>
    <w:rsid w:val="00A025E6"/>
    <w:rsid w:val="00A02609"/>
    <w:rsid w:val="00A03061"/>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1DE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5BA6"/>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5F1B"/>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07F77"/>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1CF"/>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82A"/>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3E1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86974"/>
    <w:rPr>
      <w:sz w:val="16"/>
      <w:szCs w:val="16"/>
    </w:rPr>
  </w:style>
  <w:style w:type="paragraph" w:styleId="Kommentartext">
    <w:name w:val="annotation text"/>
    <w:basedOn w:val="Standard"/>
    <w:link w:val="KommentartextZchn"/>
    <w:rsid w:val="00486974"/>
    <w:rPr>
      <w:sz w:val="20"/>
    </w:rPr>
  </w:style>
  <w:style w:type="character" w:customStyle="1" w:styleId="KommentartextZchn">
    <w:name w:val="Kommentartext Zchn"/>
    <w:basedOn w:val="Absatz-Standardschriftart"/>
    <w:link w:val="Kommentartext"/>
    <w:rsid w:val="00486974"/>
    <w:rPr>
      <w:rFonts w:ascii="Arial" w:hAnsi="Arial"/>
    </w:rPr>
  </w:style>
  <w:style w:type="paragraph" w:styleId="Kommentarthema">
    <w:name w:val="annotation subject"/>
    <w:basedOn w:val="Kommentartext"/>
    <w:next w:val="Kommentartext"/>
    <w:link w:val="KommentarthemaZchn"/>
    <w:rsid w:val="00486974"/>
    <w:rPr>
      <w:b/>
      <w:bCs/>
    </w:rPr>
  </w:style>
  <w:style w:type="character" w:customStyle="1" w:styleId="KommentarthemaZchn">
    <w:name w:val="Kommentarthema Zchn"/>
    <w:basedOn w:val="KommentartextZchn"/>
    <w:link w:val="Kommentarthema"/>
    <w:rsid w:val="0048697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816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74153909">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LqijDrJLLD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eu/info/n20-09-03-igubal-solar-pillow-block-bearing?L=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3606-C1FD-4415-A02A-A3772E5B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2020-08-10T12:27:00Z</dcterms:created>
  <dcterms:modified xsi:type="dcterms:W3CDTF">2020-09-08T08:31:00Z</dcterms:modified>
</cp:coreProperties>
</file>